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50B" w:rsidRDefault="0066650B" w:rsidP="009F29A4">
      <w:pPr>
        <w:spacing w:line="480" w:lineRule="auto"/>
        <w:jc w:val="both"/>
        <w:rPr>
          <w:rFonts w:ascii="Times New Roman" w:hAnsi="Times New Roman" w:cs="Times New Roman"/>
          <w:b/>
          <w:sz w:val="24"/>
          <w:szCs w:val="24"/>
        </w:rPr>
      </w:pPr>
    </w:p>
    <w:p w:rsidR="00D722CA" w:rsidRDefault="00D722CA" w:rsidP="00D722CA">
      <w:pPr>
        <w:spacing w:line="480" w:lineRule="auto"/>
        <w:ind w:firstLine="720"/>
        <w:jc w:val="center"/>
        <w:rPr>
          <w:rFonts w:ascii="Times New Roman" w:hAnsi="Times New Roman" w:cs="Times New Roman"/>
          <w:color w:val="1D1D1D"/>
          <w:sz w:val="24"/>
          <w:szCs w:val="24"/>
          <w:shd w:val="clear" w:color="auto" w:fill="FFFFFF"/>
        </w:rPr>
      </w:pPr>
    </w:p>
    <w:p w:rsidR="00D722CA" w:rsidRDefault="00D722CA" w:rsidP="00D722CA">
      <w:pPr>
        <w:spacing w:line="480" w:lineRule="auto"/>
        <w:ind w:firstLine="720"/>
        <w:jc w:val="center"/>
        <w:rPr>
          <w:rFonts w:ascii="Times New Roman" w:hAnsi="Times New Roman" w:cs="Times New Roman"/>
          <w:color w:val="1D1D1D"/>
          <w:sz w:val="24"/>
          <w:szCs w:val="24"/>
          <w:shd w:val="clear" w:color="auto" w:fill="FFFFFF"/>
        </w:rPr>
      </w:pPr>
    </w:p>
    <w:p w:rsidR="00D722CA" w:rsidRDefault="00D722CA" w:rsidP="00D722CA">
      <w:pPr>
        <w:spacing w:line="480" w:lineRule="auto"/>
        <w:ind w:firstLine="720"/>
        <w:jc w:val="center"/>
        <w:rPr>
          <w:rFonts w:ascii="Times New Roman" w:hAnsi="Times New Roman" w:cs="Times New Roman"/>
          <w:color w:val="1D1D1D"/>
          <w:sz w:val="24"/>
          <w:szCs w:val="24"/>
          <w:shd w:val="clear" w:color="auto" w:fill="FFFFFF"/>
        </w:rPr>
      </w:pPr>
    </w:p>
    <w:p w:rsidR="0066650B" w:rsidRPr="00D722CA" w:rsidRDefault="00817BFA" w:rsidP="00D722CA">
      <w:pPr>
        <w:spacing w:line="480" w:lineRule="auto"/>
        <w:ind w:firstLine="720"/>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Racial a</w:t>
      </w:r>
      <w:r w:rsidR="00D722CA" w:rsidRPr="00D722CA">
        <w:rPr>
          <w:rFonts w:ascii="Times New Roman" w:hAnsi="Times New Roman" w:cs="Times New Roman"/>
          <w:color w:val="1D1D1D"/>
          <w:sz w:val="24"/>
          <w:szCs w:val="24"/>
          <w:shd w:val="clear" w:color="auto" w:fill="FFFFFF"/>
        </w:rPr>
        <w:t>nd Gender Equality Movement</w:t>
      </w:r>
      <w:r w:rsidR="0066650B" w:rsidRPr="00D722CA">
        <w:rPr>
          <w:rFonts w:ascii="Times New Roman" w:hAnsi="Times New Roman" w:cs="Times New Roman"/>
          <w:color w:val="1D1D1D"/>
          <w:sz w:val="24"/>
          <w:szCs w:val="24"/>
          <w:shd w:val="clear" w:color="auto" w:fill="FFFFFF"/>
        </w:rPr>
        <w:t xml:space="preserve"> </w:t>
      </w:r>
      <w:proofErr w:type="gramStart"/>
      <w:r>
        <w:rPr>
          <w:rFonts w:ascii="Times New Roman" w:hAnsi="Times New Roman" w:cs="Times New Roman"/>
          <w:color w:val="1D1D1D"/>
          <w:sz w:val="24"/>
          <w:szCs w:val="24"/>
          <w:shd w:val="clear" w:color="auto" w:fill="FFFFFF"/>
        </w:rPr>
        <w:t>In</w:t>
      </w:r>
      <w:proofErr w:type="gramEnd"/>
      <w:r>
        <w:rPr>
          <w:rFonts w:ascii="Times New Roman" w:hAnsi="Times New Roman" w:cs="Times New Roman"/>
          <w:color w:val="1D1D1D"/>
          <w:sz w:val="24"/>
          <w:szCs w:val="24"/>
          <w:shd w:val="clear" w:color="auto" w:fill="FFFFFF"/>
        </w:rPr>
        <w:t xml:space="preserve"> the 19th a</w:t>
      </w:r>
      <w:r w:rsidR="00D722CA" w:rsidRPr="00D722CA">
        <w:rPr>
          <w:rFonts w:ascii="Times New Roman" w:hAnsi="Times New Roman" w:cs="Times New Roman"/>
          <w:color w:val="1D1D1D"/>
          <w:sz w:val="24"/>
          <w:szCs w:val="24"/>
          <w:shd w:val="clear" w:color="auto" w:fill="FFFFFF"/>
        </w:rPr>
        <w:t>nd Early 20th Centuries</w:t>
      </w:r>
    </w:p>
    <w:p w:rsidR="00D722CA" w:rsidRPr="00D722CA" w:rsidRDefault="00D722CA" w:rsidP="00D722CA">
      <w:pPr>
        <w:spacing w:line="480" w:lineRule="auto"/>
        <w:jc w:val="center"/>
        <w:rPr>
          <w:rFonts w:ascii="Times New Roman" w:hAnsi="Times New Roman" w:cs="Times New Roman"/>
          <w:color w:val="1D1D1D"/>
          <w:sz w:val="24"/>
          <w:szCs w:val="24"/>
          <w:shd w:val="clear" w:color="auto" w:fill="FFFFFF"/>
        </w:rPr>
      </w:pPr>
      <w:r w:rsidRPr="00D722CA">
        <w:rPr>
          <w:rFonts w:ascii="Times New Roman" w:hAnsi="Times New Roman" w:cs="Times New Roman"/>
          <w:color w:val="1D1D1D"/>
          <w:sz w:val="24"/>
          <w:szCs w:val="24"/>
          <w:shd w:val="clear" w:color="auto" w:fill="FFFFFF"/>
        </w:rPr>
        <w:t>By</w:t>
      </w:r>
    </w:p>
    <w:p w:rsidR="00D722CA" w:rsidRPr="00D722CA" w:rsidRDefault="00D722CA" w:rsidP="00D722CA">
      <w:pPr>
        <w:spacing w:line="480" w:lineRule="auto"/>
        <w:jc w:val="center"/>
        <w:rPr>
          <w:rFonts w:ascii="Times New Roman" w:hAnsi="Times New Roman" w:cs="Times New Roman"/>
          <w:color w:val="1D1D1D"/>
          <w:sz w:val="24"/>
          <w:szCs w:val="24"/>
          <w:shd w:val="clear" w:color="auto" w:fill="FFFFFF"/>
        </w:rPr>
      </w:pPr>
      <w:r w:rsidRPr="00D722CA">
        <w:rPr>
          <w:rFonts w:ascii="Times New Roman" w:hAnsi="Times New Roman" w:cs="Times New Roman"/>
          <w:color w:val="1D1D1D"/>
          <w:sz w:val="24"/>
          <w:szCs w:val="24"/>
          <w:shd w:val="clear" w:color="auto" w:fill="FFFFFF"/>
        </w:rPr>
        <w:t>Institution Affiliation</w:t>
      </w:r>
    </w:p>
    <w:p w:rsidR="00D722CA" w:rsidRPr="00D722CA" w:rsidRDefault="00D722CA" w:rsidP="00D722CA">
      <w:pPr>
        <w:spacing w:line="480" w:lineRule="auto"/>
        <w:jc w:val="center"/>
        <w:rPr>
          <w:rFonts w:ascii="Times New Roman" w:hAnsi="Times New Roman" w:cs="Times New Roman"/>
          <w:color w:val="1D1D1D"/>
          <w:sz w:val="24"/>
          <w:szCs w:val="24"/>
          <w:shd w:val="clear" w:color="auto" w:fill="FFFFFF"/>
        </w:rPr>
      </w:pPr>
      <w:r w:rsidRPr="00D722CA">
        <w:rPr>
          <w:rFonts w:ascii="Times New Roman" w:hAnsi="Times New Roman" w:cs="Times New Roman"/>
          <w:color w:val="1D1D1D"/>
          <w:sz w:val="24"/>
          <w:szCs w:val="24"/>
          <w:shd w:val="clear" w:color="auto" w:fill="FFFFFF"/>
        </w:rPr>
        <w:t>Course title</w:t>
      </w:r>
    </w:p>
    <w:p w:rsidR="00D722CA" w:rsidRPr="00D722CA" w:rsidRDefault="00D722CA" w:rsidP="00D722CA">
      <w:pPr>
        <w:spacing w:line="480" w:lineRule="auto"/>
        <w:jc w:val="center"/>
        <w:rPr>
          <w:rFonts w:ascii="Times New Roman" w:hAnsi="Times New Roman" w:cs="Times New Roman"/>
          <w:b/>
          <w:sz w:val="24"/>
          <w:szCs w:val="24"/>
        </w:rPr>
      </w:pPr>
      <w:r w:rsidRPr="00D722CA">
        <w:rPr>
          <w:rFonts w:ascii="Times New Roman" w:hAnsi="Times New Roman" w:cs="Times New Roman"/>
          <w:color w:val="1D1D1D"/>
          <w:sz w:val="24"/>
          <w:szCs w:val="24"/>
          <w:shd w:val="clear" w:color="auto" w:fill="FFFFFF"/>
        </w:rPr>
        <w:t>Date</w:t>
      </w:r>
    </w:p>
    <w:p w:rsidR="0066650B" w:rsidRDefault="0066650B" w:rsidP="009F29A4">
      <w:pPr>
        <w:spacing w:line="480" w:lineRule="auto"/>
        <w:jc w:val="both"/>
        <w:rPr>
          <w:rFonts w:ascii="Times New Roman" w:hAnsi="Times New Roman" w:cs="Times New Roman"/>
          <w:b/>
          <w:sz w:val="24"/>
          <w:szCs w:val="24"/>
        </w:rPr>
      </w:pPr>
    </w:p>
    <w:p w:rsidR="0066650B" w:rsidRDefault="0066650B" w:rsidP="009F29A4">
      <w:pPr>
        <w:spacing w:line="480" w:lineRule="auto"/>
        <w:jc w:val="both"/>
        <w:rPr>
          <w:rFonts w:ascii="Times New Roman" w:hAnsi="Times New Roman" w:cs="Times New Roman"/>
          <w:b/>
          <w:sz w:val="24"/>
          <w:szCs w:val="24"/>
        </w:rPr>
      </w:pPr>
    </w:p>
    <w:p w:rsidR="0066650B" w:rsidRDefault="0066650B" w:rsidP="009F29A4">
      <w:pPr>
        <w:spacing w:line="480" w:lineRule="auto"/>
        <w:jc w:val="both"/>
        <w:rPr>
          <w:rFonts w:ascii="Times New Roman" w:hAnsi="Times New Roman" w:cs="Times New Roman"/>
          <w:b/>
          <w:sz w:val="24"/>
          <w:szCs w:val="24"/>
        </w:rPr>
      </w:pPr>
    </w:p>
    <w:p w:rsidR="0066650B" w:rsidRDefault="0066650B" w:rsidP="009F29A4">
      <w:pPr>
        <w:spacing w:line="480" w:lineRule="auto"/>
        <w:jc w:val="both"/>
        <w:rPr>
          <w:rFonts w:ascii="Times New Roman" w:hAnsi="Times New Roman" w:cs="Times New Roman"/>
          <w:b/>
          <w:sz w:val="24"/>
          <w:szCs w:val="24"/>
        </w:rPr>
      </w:pPr>
    </w:p>
    <w:p w:rsidR="0066650B" w:rsidRDefault="0066650B" w:rsidP="009F29A4">
      <w:pPr>
        <w:spacing w:line="480" w:lineRule="auto"/>
        <w:jc w:val="both"/>
        <w:rPr>
          <w:rFonts w:ascii="Times New Roman" w:hAnsi="Times New Roman" w:cs="Times New Roman"/>
          <w:b/>
          <w:sz w:val="24"/>
          <w:szCs w:val="24"/>
        </w:rPr>
      </w:pPr>
    </w:p>
    <w:p w:rsidR="0066650B" w:rsidRDefault="0066650B" w:rsidP="009F29A4">
      <w:pPr>
        <w:spacing w:line="480" w:lineRule="auto"/>
        <w:jc w:val="both"/>
        <w:rPr>
          <w:rFonts w:ascii="Times New Roman" w:hAnsi="Times New Roman" w:cs="Times New Roman"/>
          <w:b/>
          <w:sz w:val="24"/>
          <w:szCs w:val="24"/>
        </w:rPr>
      </w:pPr>
    </w:p>
    <w:p w:rsidR="0066650B" w:rsidRDefault="0066650B" w:rsidP="009F29A4">
      <w:pPr>
        <w:spacing w:line="480" w:lineRule="auto"/>
        <w:jc w:val="both"/>
        <w:rPr>
          <w:rFonts w:ascii="Times New Roman" w:hAnsi="Times New Roman" w:cs="Times New Roman"/>
          <w:b/>
          <w:sz w:val="24"/>
          <w:szCs w:val="24"/>
        </w:rPr>
      </w:pPr>
    </w:p>
    <w:p w:rsidR="00D722CA" w:rsidRDefault="00D722CA" w:rsidP="009F29A4">
      <w:pPr>
        <w:spacing w:line="480" w:lineRule="auto"/>
        <w:jc w:val="both"/>
        <w:rPr>
          <w:rFonts w:ascii="Times New Roman" w:hAnsi="Times New Roman" w:cs="Times New Roman"/>
          <w:b/>
          <w:sz w:val="24"/>
          <w:szCs w:val="24"/>
        </w:rPr>
      </w:pPr>
    </w:p>
    <w:p w:rsidR="00D722CA" w:rsidRDefault="00D722CA" w:rsidP="009F29A4">
      <w:pPr>
        <w:spacing w:line="480" w:lineRule="auto"/>
        <w:jc w:val="both"/>
        <w:rPr>
          <w:rFonts w:ascii="Times New Roman" w:hAnsi="Times New Roman" w:cs="Times New Roman"/>
          <w:b/>
          <w:sz w:val="24"/>
          <w:szCs w:val="24"/>
        </w:rPr>
      </w:pPr>
    </w:p>
    <w:p w:rsidR="009F29A4" w:rsidRPr="00383280" w:rsidRDefault="009F29A4" w:rsidP="009F29A4">
      <w:pPr>
        <w:spacing w:line="480" w:lineRule="auto"/>
        <w:jc w:val="both"/>
        <w:rPr>
          <w:rFonts w:ascii="Times New Roman" w:hAnsi="Times New Roman" w:cs="Times New Roman"/>
          <w:b/>
          <w:sz w:val="24"/>
          <w:szCs w:val="24"/>
        </w:rPr>
      </w:pPr>
      <w:r w:rsidRPr="00383280">
        <w:rPr>
          <w:rFonts w:ascii="Times New Roman" w:hAnsi="Times New Roman" w:cs="Times New Roman"/>
          <w:b/>
          <w:sz w:val="24"/>
          <w:szCs w:val="24"/>
        </w:rPr>
        <w:lastRenderedPageBreak/>
        <w:t>Question 1</w:t>
      </w:r>
      <w:r w:rsidR="002E5295" w:rsidRPr="00383280">
        <w:rPr>
          <w:rFonts w:ascii="Times New Roman" w:hAnsi="Times New Roman" w:cs="Times New Roman"/>
          <w:b/>
          <w:sz w:val="24"/>
          <w:szCs w:val="24"/>
        </w:rPr>
        <w:t xml:space="preserve">: Gains </w:t>
      </w:r>
    </w:p>
    <w:p w:rsidR="00DF0EC0" w:rsidRPr="00383280" w:rsidRDefault="009760E7" w:rsidP="009760E7">
      <w:pPr>
        <w:spacing w:line="480" w:lineRule="auto"/>
        <w:ind w:firstLine="720"/>
        <w:jc w:val="both"/>
        <w:rPr>
          <w:rFonts w:ascii="Times New Roman" w:hAnsi="Times New Roman" w:cs="Times New Roman"/>
          <w:sz w:val="24"/>
          <w:szCs w:val="24"/>
        </w:rPr>
      </w:pPr>
      <w:r w:rsidRPr="00383280">
        <w:rPr>
          <w:rFonts w:ascii="Times New Roman" w:hAnsi="Times New Roman" w:cs="Times New Roman"/>
          <w:sz w:val="24"/>
          <w:szCs w:val="24"/>
        </w:rPr>
        <w:t>One of the major gains for racial equality in the 19</w:t>
      </w:r>
      <w:r w:rsidRPr="00383280">
        <w:rPr>
          <w:rFonts w:ascii="Times New Roman" w:hAnsi="Times New Roman" w:cs="Times New Roman"/>
          <w:sz w:val="24"/>
          <w:szCs w:val="24"/>
          <w:vertAlign w:val="superscript"/>
        </w:rPr>
        <w:t>th</w:t>
      </w:r>
      <w:r w:rsidRPr="00383280">
        <w:rPr>
          <w:rFonts w:ascii="Times New Roman" w:hAnsi="Times New Roman" w:cs="Times New Roman"/>
          <w:sz w:val="24"/>
          <w:szCs w:val="24"/>
        </w:rPr>
        <w:t xml:space="preserve"> century was the Enforcement Act of 1870</w:t>
      </w:r>
      <w:r w:rsidR="007D54A7">
        <w:rPr>
          <w:rStyle w:val="FootnoteReference"/>
          <w:rFonts w:ascii="Times New Roman" w:hAnsi="Times New Roman" w:cs="Times New Roman"/>
          <w:sz w:val="24"/>
          <w:szCs w:val="24"/>
        </w:rPr>
        <w:footnoteReference w:id="1"/>
      </w:r>
      <w:r w:rsidRPr="00383280">
        <w:rPr>
          <w:rFonts w:ascii="Times New Roman" w:hAnsi="Times New Roman" w:cs="Times New Roman"/>
          <w:sz w:val="24"/>
          <w:szCs w:val="24"/>
        </w:rPr>
        <w:t>. The act prohibited any state officials from di</w:t>
      </w:r>
      <w:r w:rsidR="00C73F64">
        <w:rPr>
          <w:rFonts w:ascii="Times New Roman" w:hAnsi="Times New Roman" w:cs="Times New Roman"/>
          <w:sz w:val="24"/>
          <w:szCs w:val="24"/>
        </w:rPr>
        <w:t>scriminating voters on the ground of their color,</w:t>
      </w:r>
      <w:r w:rsidRPr="00383280">
        <w:rPr>
          <w:rFonts w:ascii="Times New Roman" w:hAnsi="Times New Roman" w:cs="Times New Roman"/>
          <w:sz w:val="24"/>
          <w:szCs w:val="24"/>
        </w:rPr>
        <w:t xml:space="preserve"> prev</w:t>
      </w:r>
      <w:r w:rsidR="00C73F64">
        <w:rPr>
          <w:rFonts w:ascii="Times New Roman" w:hAnsi="Times New Roman" w:cs="Times New Roman"/>
          <w:sz w:val="24"/>
          <w:szCs w:val="24"/>
        </w:rPr>
        <w:t>ious conditions of being slaves and race.</w:t>
      </w:r>
      <w:r w:rsidRPr="00383280">
        <w:rPr>
          <w:rFonts w:ascii="Times New Roman" w:hAnsi="Times New Roman" w:cs="Times New Roman"/>
          <w:sz w:val="24"/>
          <w:szCs w:val="24"/>
        </w:rPr>
        <w:t xml:space="preserve"> Penalties were put in place for those that would b</w:t>
      </w:r>
      <w:r w:rsidR="00C73F64">
        <w:rPr>
          <w:rFonts w:ascii="Times New Roman" w:hAnsi="Times New Roman" w:cs="Times New Roman"/>
          <w:sz w:val="24"/>
          <w:szCs w:val="24"/>
        </w:rPr>
        <w:t>e found to be violating an Individual’s right to participate in a voting process</w:t>
      </w:r>
      <w:r w:rsidRPr="00383280">
        <w:rPr>
          <w:rFonts w:ascii="Times New Roman" w:hAnsi="Times New Roman" w:cs="Times New Roman"/>
          <w:sz w:val="24"/>
          <w:szCs w:val="24"/>
        </w:rPr>
        <w:t xml:space="preserve"> and the federal court were given powers to enforce the Enforcement Act. </w:t>
      </w:r>
      <w:r w:rsidR="00CF71C3" w:rsidRPr="00383280">
        <w:rPr>
          <w:rFonts w:ascii="Times New Roman" w:hAnsi="Times New Roman" w:cs="Times New Roman"/>
          <w:sz w:val="24"/>
          <w:szCs w:val="24"/>
        </w:rPr>
        <w:t>The act f</w:t>
      </w:r>
      <w:r w:rsidR="00C73F64">
        <w:rPr>
          <w:rFonts w:ascii="Times New Roman" w:hAnsi="Times New Roman" w:cs="Times New Roman"/>
          <w:sz w:val="24"/>
          <w:szCs w:val="24"/>
        </w:rPr>
        <w:t>urther banned any use of force,</w:t>
      </w:r>
      <w:r w:rsidR="00CF71C3" w:rsidRPr="00383280">
        <w:rPr>
          <w:rFonts w:ascii="Times New Roman" w:hAnsi="Times New Roman" w:cs="Times New Roman"/>
          <w:sz w:val="24"/>
          <w:szCs w:val="24"/>
        </w:rPr>
        <w:t xml:space="preserve"> terror</w:t>
      </w:r>
      <w:r w:rsidR="00C73F64">
        <w:rPr>
          <w:rFonts w:ascii="Times New Roman" w:hAnsi="Times New Roman" w:cs="Times New Roman"/>
          <w:sz w:val="24"/>
          <w:szCs w:val="24"/>
        </w:rPr>
        <w:t xml:space="preserve"> or </w:t>
      </w:r>
      <w:r w:rsidR="00C73F64" w:rsidRPr="00383280">
        <w:rPr>
          <w:rFonts w:ascii="Times New Roman" w:hAnsi="Times New Roman" w:cs="Times New Roman"/>
          <w:sz w:val="24"/>
          <w:szCs w:val="24"/>
        </w:rPr>
        <w:t>bribery</w:t>
      </w:r>
      <w:r w:rsidR="00CF71C3" w:rsidRPr="00383280">
        <w:rPr>
          <w:rFonts w:ascii="Times New Roman" w:hAnsi="Times New Roman" w:cs="Times New Roman"/>
          <w:sz w:val="24"/>
          <w:szCs w:val="24"/>
        </w:rPr>
        <w:t xml:space="preserve"> to </w:t>
      </w:r>
      <w:r w:rsidR="00C73F64" w:rsidRPr="00383280">
        <w:rPr>
          <w:rFonts w:ascii="Times New Roman" w:hAnsi="Times New Roman" w:cs="Times New Roman"/>
          <w:sz w:val="24"/>
          <w:szCs w:val="24"/>
        </w:rPr>
        <w:t>avert</w:t>
      </w:r>
      <w:r w:rsidR="00C73F64">
        <w:rPr>
          <w:rFonts w:ascii="Times New Roman" w:hAnsi="Times New Roman" w:cs="Times New Roman"/>
          <w:sz w:val="24"/>
          <w:szCs w:val="24"/>
        </w:rPr>
        <w:t xml:space="preserve"> people from playing their right to take a vote on the ground</w:t>
      </w:r>
      <w:r w:rsidR="00CF71C3" w:rsidRPr="00383280">
        <w:rPr>
          <w:rFonts w:ascii="Times New Roman" w:hAnsi="Times New Roman" w:cs="Times New Roman"/>
          <w:sz w:val="24"/>
          <w:szCs w:val="24"/>
        </w:rPr>
        <w:t xml:space="preserve"> of their race. At this time, it was also decreed that any person that is naturalized or born in the United States, would be considered a</w:t>
      </w:r>
      <w:r w:rsidR="00C73F64">
        <w:rPr>
          <w:rFonts w:ascii="Times New Roman" w:hAnsi="Times New Roman" w:cs="Times New Roman"/>
          <w:sz w:val="24"/>
          <w:szCs w:val="24"/>
        </w:rPr>
        <w:t xml:space="preserve">s citizens of the U.S </w:t>
      </w:r>
      <w:r w:rsidR="00CF71C3" w:rsidRPr="00383280">
        <w:rPr>
          <w:rFonts w:ascii="Times New Roman" w:hAnsi="Times New Roman" w:cs="Times New Roman"/>
          <w:sz w:val="24"/>
          <w:szCs w:val="24"/>
        </w:rPr>
        <w:t xml:space="preserve">and this would be subject to the jurisdiction of the sates where they resided. </w:t>
      </w:r>
    </w:p>
    <w:p w:rsidR="00CF71C3" w:rsidRPr="00383280" w:rsidRDefault="008F61F5" w:rsidP="009F29A4">
      <w:pPr>
        <w:spacing w:line="480" w:lineRule="auto"/>
        <w:ind w:firstLine="720"/>
        <w:jc w:val="both"/>
        <w:rPr>
          <w:rFonts w:ascii="Times New Roman" w:hAnsi="Times New Roman" w:cs="Times New Roman"/>
          <w:sz w:val="24"/>
          <w:szCs w:val="24"/>
        </w:rPr>
      </w:pPr>
      <w:r>
        <w:rPr>
          <w:rStyle w:val="FootnoteReference"/>
          <w:rFonts w:ascii="Times New Roman" w:hAnsi="Times New Roman" w:cs="Times New Roman"/>
          <w:sz w:val="24"/>
          <w:szCs w:val="24"/>
        </w:rPr>
        <w:footnoteReference w:id="2"/>
      </w:r>
      <w:r w:rsidR="00CF71C3" w:rsidRPr="00383280">
        <w:rPr>
          <w:rFonts w:ascii="Times New Roman" w:hAnsi="Times New Roman" w:cs="Times New Roman"/>
          <w:sz w:val="24"/>
          <w:szCs w:val="24"/>
        </w:rPr>
        <w:t>For women, one of the major gains was in 1853 when for the first time, two women</w:t>
      </w:r>
      <w:r w:rsidR="009F29A4" w:rsidRPr="00383280">
        <w:rPr>
          <w:rFonts w:ascii="Times New Roman" w:hAnsi="Times New Roman" w:cs="Times New Roman"/>
          <w:sz w:val="24"/>
          <w:szCs w:val="24"/>
        </w:rPr>
        <w:t xml:space="preserve"> </w:t>
      </w:r>
      <w:r w:rsidR="00C73F64" w:rsidRPr="00383280">
        <w:rPr>
          <w:rFonts w:ascii="Times New Roman" w:hAnsi="Times New Roman" w:cs="Times New Roman"/>
          <w:sz w:val="24"/>
          <w:szCs w:val="24"/>
        </w:rPr>
        <w:t>representatives</w:t>
      </w:r>
      <w:r w:rsidR="009F29A4" w:rsidRPr="00383280">
        <w:rPr>
          <w:rFonts w:ascii="Times New Roman" w:hAnsi="Times New Roman" w:cs="Times New Roman"/>
          <w:sz w:val="24"/>
          <w:szCs w:val="24"/>
        </w:rPr>
        <w:t>,</w:t>
      </w:r>
      <w:r w:rsidR="00C73F64">
        <w:rPr>
          <w:rFonts w:ascii="Times New Roman" w:hAnsi="Times New Roman" w:cs="Times New Roman"/>
          <w:sz w:val="24"/>
          <w:szCs w:val="24"/>
        </w:rPr>
        <w:t xml:space="preserve"> </w:t>
      </w:r>
      <w:r w:rsidR="009F29A4" w:rsidRPr="00383280">
        <w:rPr>
          <w:rFonts w:ascii="Times New Roman" w:hAnsi="Times New Roman" w:cs="Times New Roman"/>
          <w:sz w:val="24"/>
          <w:szCs w:val="24"/>
        </w:rPr>
        <w:t>Antoinette</w:t>
      </w:r>
      <w:r w:rsidR="00CF71C3" w:rsidRPr="00383280">
        <w:rPr>
          <w:rFonts w:ascii="Times New Roman" w:hAnsi="Times New Roman" w:cs="Times New Roman"/>
          <w:sz w:val="24"/>
          <w:szCs w:val="24"/>
        </w:rPr>
        <w:t xml:space="preserve"> </w:t>
      </w:r>
      <w:r w:rsidR="009F29A4" w:rsidRPr="00383280">
        <w:rPr>
          <w:rFonts w:ascii="Times New Roman" w:hAnsi="Times New Roman" w:cs="Times New Roman"/>
          <w:sz w:val="24"/>
          <w:szCs w:val="24"/>
        </w:rPr>
        <w:t>Brown</w:t>
      </w:r>
      <w:r w:rsidR="00C73F64">
        <w:rPr>
          <w:rFonts w:ascii="Times New Roman" w:hAnsi="Times New Roman" w:cs="Times New Roman"/>
          <w:sz w:val="24"/>
          <w:szCs w:val="24"/>
        </w:rPr>
        <w:t xml:space="preserve"> and </w:t>
      </w:r>
      <w:r w:rsidR="00C73F64" w:rsidRPr="00383280">
        <w:rPr>
          <w:rFonts w:ascii="Times New Roman" w:hAnsi="Times New Roman" w:cs="Times New Roman"/>
          <w:sz w:val="24"/>
          <w:szCs w:val="24"/>
        </w:rPr>
        <w:t>Susan B. Anthony</w:t>
      </w:r>
      <w:r w:rsidR="00C73F64">
        <w:rPr>
          <w:rFonts w:ascii="Times New Roman" w:hAnsi="Times New Roman" w:cs="Times New Roman"/>
          <w:sz w:val="24"/>
          <w:szCs w:val="24"/>
        </w:rPr>
        <w:t>, were given a chance to give an address</w:t>
      </w:r>
      <w:r w:rsidR="009F29A4" w:rsidRPr="00383280">
        <w:rPr>
          <w:rFonts w:ascii="Times New Roman" w:hAnsi="Times New Roman" w:cs="Times New Roman"/>
          <w:sz w:val="24"/>
          <w:szCs w:val="24"/>
        </w:rPr>
        <w:t xml:space="preserve"> at the World’s Temperance Convention that was held in the New York City</w:t>
      </w:r>
      <w:r w:rsidR="007D54A7">
        <w:rPr>
          <w:rStyle w:val="FootnoteReference"/>
          <w:rFonts w:ascii="Times New Roman" w:hAnsi="Times New Roman" w:cs="Times New Roman"/>
          <w:sz w:val="24"/>
          <w:szCs w:val="24"/>
        </w:rPr>
        <w:footnoteReference w:id="3"/>
      </w:r>
      <w:r w:rsidR="009F29A4" w:rsidRPr="00383280">
        <w:rPr>
          <w:rFonts w:ascii="Times New Roman" w:hAnsi="Times New Roman" w:cs="Times New Roman"/>
          <w:sz w:val="24"/>
          <w:szCs w:val="24"/>
        </w:rPr>
        <w:t xml:space="preserve">. In 1868, women were given the right to vote, although at this time, they would put their ballots in separate boxes. In 1890, </w:t>
      </w:r>
      <w:r w:rsidR="002E5295" w:rsidRPr="00383280">
        <w:rPr>
          <w:rFonts w:ascii="Times New Roman" w:hAnsi="Times New Roman" w:cs="Times New Roman"/>
          <w:sz w:val="24"/>
          <w:szCs w:val="24"/>
        </w:rPr>
        <w:t>their</w:t>
      </w:r>
      <w:r w:rsidR="009F29A4" w:rsidRPr="00383280">
        <w:rPr>
          <w:rFonts w:ascii="Times New Roman" w:hAnsi="Times New Roman" w:cs="Times New Roman"/>
          <w:sz w:val="24"/>
          <w:szCs w:val="24"/>
        </w:rPr>
        <w:t xml:space="preserve"> victories </w:t>
      </w:r>
      <w:r w:rsidR="002E5295" w:rsidRPr="00383280">
        <w:rPr>
          <w:rFonts w:ascii="Times New Roman" w:hAnsi="Times New Roman" w:cs="Times New Roman"/>
          <w:sz w:val="24"/>
          <w:szCs w:val="24"/>
        </w:rPr>
        <w:t>included</w:t>
      </w:r>
      <w:r w:rsidR="009F29A4" w:rsidRPr="00383280">
        <w:rPr>
          <w:rFonts w:ascii="Times New Roman" w:hAnsi="Times New Roman" w:cs="Times New Roman"/>
          <w:sz w:val="24"/>
          <w:szCs w:val="24"/>
        </w:rPr>
        <w:t xml:space="preserve"> the support for woman suffrage that </w:t>
      </w:r>
      <w:r w:rsidR="002E5295" w:rsidRPr="00383280">
        <w:rPr>
          <w:rFonts w:ascii="Times New Roman" w:hAnsi="Times New Roman" w:cs="Times New Roman"/>
          <w:sz w:val="24"/>
          <w:szCs w:val="24"/>
        </w:rPr>
        <w:t>they</w:t>
      </w:r>
      <w:r w:rsidR="009F29A4" w:rsidRPr="00383280">
        <w:rPr>
          <w:rFonts w:ascii="Times New Roman" w:hAnsi="Times New Roman" w:cs="Times New Roman"/>
          <w:sz w:val="24"/>
          <w:szCs w:val="24"/>
        </w:rPr>
        <w:t xml:space="preserve"> got from the American </w:t>
      </w:r>
      <w:r w:rsidR="009F29A4" w:rsidRPr="00383280">
        <w:rPr>
          <w:rFonts w:ascii="Times New Roman" w:hAnsi="Times New Roman" w:cs="Times New Roman"/>
          <w:sz w:val="24"/>
          <w:szCs w:val="24"/>
        </w:rPr>
        <w:lastRenderedPageBreak/>
        <w:t xml:space="preserve">Federation of Labor, as well as Wyoming being </w:t>
      </w:r>
      <w:r w:rsidR="002E5295" w:rsidRPr="00383280">
        <w:rPr>
          <w:rFonts w:ascii="Times New Roman" w:hAnsi="Times New Roman" w:cs="Times New Roman"/>
          <w:sz w:val="24"/>
          <w:szCs w:val="24"/>
        </w:rPr>
        <w:t>admitted</w:t>
      </w:r>
      <w:r w:rsidR="009F29A4" w:rsidRPr="00383280">
        <w:rPr>
          <w:rFonts w:ascii="Times New Roman" w:hAnsi="Times New Roman" w:cs="Times New Roman"/>
          <w:sz w:val="24"/>
          <w:szCs w:val="24"/>
        </w:rPr>
        <w:t xml:space="preserve"> to the union, and having a state constitution that supported and granted woman suffrage. </w:t>
      </w:r>
    </w:p>
    <w:p w:rsidR="002E5295" w:rsidRDefault="002E5295" w:rsidP="002E5295">
      <w:pPr>
        <w:spacing w:line="480" w:lineRule="auto"/>
        <w:jc w:val="both"/>
        <w:rPr>
          <w:rFonts w:ascii="Times New Roman" w:hAnsi="Times New Roman" w:cs="Times New Roman"/>
          <w:b/>
          <w:sz w:val="24"/>
          <w:szCs w:val="24"/>
        </w:rPr>
      </w:pPr>
      <w:r w:rsidRPr="00383280">
        <w:rPr>
          <w:rFonts w:ascii="Times New Roman" w:hAnsi="Times New Roman" w:cs="Times New Roman"/>
          <w:b/>
          <w:sz w:val="24"/>
          <w:szCs w:val="24"/>
        </w:rPr>
        <w:t xml:space="preserve">Question Two: Setbacks </w:t>
      </w:r>
    </w:p>
    <w:p w:rsidR="007F50CF" w:rsidRDefault="00383280" w:rsidP="007F50CF">
      <w:pPr>
        <w:spacing w:line="480" w:lineRule="auto"/>
        <w:jc w:val="both"/>
        <w:rPr>
          <w:rFonts w:ascii="Times New Roman" w:hAnsi="Times New Roman" w:cs="Times New Roman"/>
          <w:sz w:val="24"/>
          <w:szCs w:val="24"/>
        </w:rPr>
      </w:pPr>
      <w:r w:rsidRPr="007F50CF">
        <w:rPr>
          <w:rFonts w:ascii="Times New Roman" w:hAnsi="Times New Roman" w:cs="Times New Roman"/>
          <w:sz w:val="24"/>
          <w:szCs w:val="24"/>
        </w:rPr>
        <w:tab/>
      </w:r>
      <w:r w:rsidR="007F50CF" w:rsidRPr="007F50CF">
        <w:rPr>
          <w:rFonts w:ascii="Times New Roman" w:hAnsi="Times New Roman" w:cs="Times New Roman"/>
          <w:sz w:val="24"/>
          <w:szCs w:val="24"/>
        </w:rPr>
        <w:t xml:space="preserve">The Ku Klux Klan was one of the major setbacks faced during the civil rights movement. The movement was formed by confederate veterans who </w:t>
      </w:r>
      <w:r w:rsidR="007F50CF">
        <w:rPr>
          <w:rFonts w:ascii="Times New Roman" w:hAnsi="Times New Roman" w:cs="Times New Roman"/>
          <w:sz w:val="24"/>
          <w:szCs w:val="24"/>
        </w:rPr>
        <w:t>w</w:t>
      </w:r>
      <w:r w:rsidR="007F50CF" w:rsidRPr="007F50CF">
        <w:rPr>
          <w:rFonts w:ascii="Times New Roman" w:hAnsi="Times New Roman" w:cs="Times New Roman"/>
          <w:sz w:val="24"/>
          <w:szCs w:val="24"/>
        </w:rPr>
        <w:t>ere in opposition of the reconstruction</w:t>
      </w:r>
      <w:r w:rsidR="007D54A7">
        <w:rPr>
          <w:rStyle w:val="FootnoteReference"/>
          <w:rFonts w:ascii="Times New Roman" w:hAnsi="Times New Roman" w:cs="Times New Roman"/>
          <w:sz w:val="24"/>
          <w:szCs w:val="24"/>
        </w:rPr>
        <w:footnoteReference w:id="4"/>
      </w:r>
      <w:r w:rsidR="007F50CF" w:rsidRPr="007F50CF">
        <w:rPr>
          <w:rFonts w:ascii="Times New Roman" w:hAnsi="Times New Roman" w:cs="Times New Roman"/>
          <w:sz w:val="24"/>
          <w:szCs w:val="24"/>
        </w:rPr>
        <w:t>. They used incitements, assaults and riots and murder to intimidate voters, especially republicans and blacks.</w:t>
      </w:r>
      <w:r w:rsidR="007F50CF">
        <w:rPr>
          <w:rFonts w:ascii="Times New Roman" w:hAnsi="Times New Roman" w:cs="Times New Roman"/>
          <w:sz w:val="24"/>
          <w:szCs w:val="24"/>
        </w:rPr>
        <w:t xml:space="preserve"> The group would reemerge again in 1950s to oppose the civil rights movement and this time they killed both blacks and whites who supported the movement.  </w:t>
      </w:r>
    </w:p>
    <w:p w:rsidR="009F29A4" w:rsidRPr="00383280" w:rsidRDefault="002E5295" w:rsidP="007F50CF">
      <w:pPr>
        <w:spacing w:line="480" w:lineRule="auto"/>
        <w:jc w:val="both"/>
        <w:rPr>
          <w:rFonts w:ascii="Times New Roman" w:hAnsi="Times New Roman" w:cs="Times New Roman"/>
          <w:sz w:val="24"/>
          <w:szCs w:val="24"/>
        </w:rPr>
      </w:pPr>
      <w:r w:rsidRPr="00383280">
        <w:rPr>
          <w:rFonts w:ascii="Times New Roman" w:hAnsi="Times New Roman" w:cs="Times New Roman"/>
          <w:sz w:val="24"/>
          <w:szCs w:val="24"/>
        </w:rPr>
        <w:t>The women suffrage movement suffered major setbacks for close to forty years, with none of their motions being handled since they were riddled with repeated statements and arguments</w:t>
      </w:r>
      <w:r w:rsidR="007D54A7">
        <w:rPr>
          <w:rStyle w:val="FootnoteReference"/>
          <w:rFonts w:ascii="Times New Roman" w:hAnsi="Times New Roman" w:cs="Times New Roman"/>
          <w:sz w:val="24"/>
          <w:szCs w:val="24"/>
        </w:rPr>
        <w:footnoteReference w:id="5"/>
      </w:r>
      <w:r w:rsidR="00383280" w:rsidRPr="00383280">
        <w:rPr>
          <w:rFonts w:ascii="Times New Roman" w:hAnsi="Times New Roman" w:cs="Times New Roman"/>
          <w:sz w:val="24"/>
          <w:szCs w:val="24"/>
        </w:rPr>
        <w:t xml:space="preserve">. There were a number of businesses that opposed women suffrage at the time, thus adding to its setback. Distillers and brewers for instance, were mostly against it because they feared that women would use their new found power to oppose the consumption and in turn, the production of alcohol. Some, like cotton farms, also opposed suffrage because they feared that women would want to put to child labor to an end. </w:t>
      </w:r>
      <w:r w:rsidR="009F29A4" w:rsidRPr="00383280">
        <w:rPr>
          <w:rFonts w:ascii="Times New Roman" w:hAnsi="Times New Roman" w:cs="Times New Roman"/>
          <w:sz w:val="24"/>
          <w:szCs w:val="24"/>
        </w:rPr>
        <w:t> </w:t>
      </w:r>
    </w:p>
    <w:p w:rsidR="009F29A4" w:rsidRPr="00383280" w:rsidRDefault="009F29A4" w:rsidP="009F29A4">
      <w:pPr>
        <w:spacing w:line="480" w:lineRule="auto"/>
        <w:ind w:firstLine="720"/>
        <w:jc w:val="both"/>
        <w:rPr>
          <w:rFonts w:ascii="Times New Roman" w:hAnsi="Times New Roman" w:cs="Times New Roman"/>
          <w:sz w:val="24"/>
          <w:szCs w:val="24"/>
        </w:rPr>
      </w:pPr>
    </w:p>
    <w:p w:rsidR="009760E7" w:rsidRPr="00383280" w:rsidRDefault="009760E7">
      <w:pPr>
        <w:rPr>
          <w:rFonts w:ascii="Times New Roman" w:hAnsi="Times New Roman" w:cs="Times New Roman"/>
          <w:sz w:val="24"/>
          <w:szCs w:val="24"/>
        </w:rPr>
      </w:pPr>
    </w:p>
    <w:p w:rsidR="009760E7" w:rsidRDefault="009760E7">
      <w:pPr>
        <w:rPr>
          <w:rFonts w:ascii="Times New Roman" w:hAnsi="Times New Roman" w:cs="Times New Roman"/>
          <w:sz w:val="24"/>
          <w:szCs w:val="24"/>
        </w:rPr>
      </w:pPr>
    </w:p>
    <w:p w:rsidR="0035460B" w:rsidRDefault="0035460B">
      <w:pPr>
        <w:rPr>
          <w:rFonts w:ascii="Times New Roman" w:hAnsi="Times New Roman" w:cs="Times New Roman"/>
          <w:sz w:val="24"/>
          <w:szCs w:val="24"/>
        </w:rPr>
      </w:pPr>
    </w:p>
    <w:p w:rsidR="0035460B" w:rsidRDefault="0035460B">
      <w:pPr>
        <w:rPr>
          <w:rFonts w:ascii="Times New Roman" w:hAnsi="Times New Roman" w:cs="Times New Roman"/>
          <w:sz w:val="24"/>
          <w:szCs w:val="24"/>
        </w:rPr>
      </w:pPr>
    </w:p>
    <w:p w:rsidR="007A3718" w:rsidRDefault="007A3718">
      <w:pPr>
        <w:rPr>
          <w:rFonts w:ascii="Times New Roman" w:hAnsi="Times New Roman" w:cs="Times New Roman"/>
          <w:sz w:val="24"/>
          <w:szCs w:val="24"/>
        </w:rPr>
      </w:pPr>
      <w:bookmarkStart w:id="0" w:name="_GoBack"/>
      <w:bookmarkEnd w:id="0"/>
    </w:p>
    <w:p w:rsidR="0035460B" w:rsidRPr="0035460B" w:rsidRDefault="0035460B" w:rsidP="0035460B">
      <w:pPr>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rsidR="0035460B" w:rsidRPr="0035460B" w:rsidRDefault="0035460B" w:rsidP="0035460B">
      <w:pPr>
        <w:spacing w:line="480" w:lineRule="auto"/>
        <w:rPr>
          <w:rFonts w:ascii="Times New Roman" w:hAnsi="Times New Roman" w:cs="Times New Roman"/>
          <w:sz w:val="24"/>
          <w:szCs w:val="24"/>
        </w:rPr>
      </w:pPr>
      <w:proofErr w:type="spellStart"/>
      <w:r w:rsidRPr="0035460B">
        <w:rPr>
          <w:rFonts w:ascii="Times New Roman" w:hAnsi="Times New Roman" w:cs="Times New Roman"/>
          <w:sz w:val="24"/>
          <w:szCs w:val="24"/>
        </w:rPr>
        <w:t>Grønbæk</w:t>
      </w:r>
      <w:proofErr w:type="spellEnd"/>
      <w:r w:rsidRPr="0035460B">
        <w:rPr>
          <w:rFonts w:ascii="Times New Roman" w:hAnsi="Times New Roman" w:cs="Times New Roman"/>
          <w:sz w:val="24"/>
          <w:szCs w:val="24"/>
        </w:rPr>
        <w:t xml:space="preserve">, </w:t>
      </w:r>
      <w:proofErr w:type="spellStart"/>
      <w:r w:rsidRPr="0035460B">
        <w:rPr>
          <w:rFonts w:ascii="Times New Roman" w:hAnsi="Times New Roman" w:cs="Times New Roman"/>
          <w:sz w:val="24"/>
          <w:szCs w:val="24"/>
        </w:rPr>
        <w:t>Majbritt</w:t>
      </w:r>
      <w:proofErr w:type="spellEnd"/>
      <w:r w:rsidRPr="0035460B">
        <w:rPr>
          <w:rFonts w:ascii="Times New Roman" w:hAnsi="Times New Roman" w:cs="Times New Roman"/>
          <w:sz w:val="24"/>
          <w:szCs w:val="24"/>
        </w:rPr>
        <w:t xml:space="preserve"> </w:t>
      </w:r>
      <w:proofErr w:type="spellStart"/>
      <w:r w:rsidRPr="0035460B">
        <w:rPr>
          <w:rFonts w:ascii="Times New Roman" w:hAnsi="Times New Roman" w:cs="Times New Roman"/>
          <w:sz w:val="24"/>
          <w:szCs w:val="24"/>
        </w:rPr>
        <w:t>Kastberg</w:t>
      </w:r>
      <w:proofErr w:type="spellEnd"/>
      <w:r w:rsidRPr="0035460B">
        <w:rPr>
          <w:rFonts w:ascii="Times New Roman" w:hAnsi="Times New Roman" w:cs="Times New Roman"/>
          <w:sz w:val="24"/>
          <w:szCs w:val="24"/>
        </w:rPr>
        <w:t>. "Cause and Effect." </w:t>
      </w:r>
      <w:r w:rsidRPr="0035460B">
        <w:rPr>
          <w:rFonts w:ascii="Times New Roman" w:hAnsi="Times New Roman" w:cs="Times New Roman"/>
          <w:i/>
          <w:iCs/>
          <w:sz w:val="24"/>
          <w:szCs w:val="24"/>
        </w:rPr>
        <w:t>Leviathan: Interdisciplinary Journal in English</w:t>
      </w:r>
      <w:r w:rsidRPr="0035460B">
        <w:rPr>
          <w:rFonts w:ascii="Times New Roman" w:hAnsi="Times New Roman" w:cs="Times New Roman"/>
          <w:sz w:val="24"/>
          <w:szCs w:val="24"/>
        </w:rPr>
        <w:t> 5 (2019): 25-32.</w:t>
      </w:r>
    </w:p>
    <w:p w:rsidR="0035460B" w:rsidRPr="0035460B" w:rsidRDefault="0035460B" w:rsidP="0035460B">
      <w:pPr>
        <w:pStyle w:val="FootnoteText"/>
        <w:spacing w:line="480" w:lineRule="auto"/>
        <w:rPr>
          <w:rFonts w:ascii="Times New Roman" w:hAnsi="Times New Roman" w:cs="Times New Roman"/>
          <w:sz w:val="24"/>
          <w:szCs w:val="24"/>
        </w:rPr>
      </w:pPr>
      <w:r w:rsidRPr="0035460B">
        <w:rPr>
          <w:rFonts w:ascii="Times New Roman" w:hAnsi="Times New Roman" w:cs="Times New Roman"/>
          <w:sz w:val="24"/>
          <w:szCs w:val="24"/>
        </w:rPr>
        <w:t>Jackson, Kenneth T. </w:t>
      </w:r>
      <w:r w:rsidRPr="0035460B">
        <w:rPr>
          <w:rFonts w:ascii="Times New Roman" w:hAnsi="Times New Roman" w:cs="Times New Roman"/>
          <w:i/>
          <w:iCs/>
          <w:sz w:val="24"/>
          <w:szCs w:val="24"/>
        </w:rPr>
        <w:t>The Ku Klux Klan in the City, 1915-1930</w:t>
      </w:r>
      <w:r w:rsidRPr="0035460B">
        <w:rPr>
          <w:rFonts w:ascii="Times New Roman" w:hAnsi="Times New Roman" w:cs="Times New Roman"/>
          <w:sz w:val="24"/>
          <w:szCs w:val="24"/>
        </w:rPr>
        <w:t xml:space="preserve">. Vol. 123. </w:t>
      </w:r>
      <w:proofErr w:type="spellStart"/>
      <w:r w:rsidRPr="0035460B">
        <w:rPr>
          <w:rFonts w:ascii="Times New Roman" w:hAnsi="Times New Roman" w:cs="Times New Roman"/>
          <w:sz w:val="24"/>
          <w:szCs w:val="24"/>
        </w:rPr>
        <w:t>Rowman</w:t>
      </w:r>
      <w:proofErr w:type="spellEnd"/>
      <w:r w:rsidRPr="0035460B">
        <w:rPr>
          <w:rFonts w:ascii="Times New Roman" w:hAnsi="Times New Roman" w:cs="Times New Roman"/>
          <w:sz w:val="24"/>
          <w:szCs w:val="24"/>
        </w:rPr>
        <w:t xml:space="preserve"> &amp; Littlefield, 1992.</w:t>
      </w:r>
    </w:p>
    <w:p w:rsidR="0035460B" w:rsidRPr="0035460B" w:rsidRDefault="0035460B" w:rsidP="0035460B">
      <w:pPr>
        <w:pStyle w:val="FootnoteText"/>
        <w:spacing w:line="480" w:lineRule="auto"/>
        <w:rPr>
          <w:rFonts w:ascii="Times New Roman" w:hAnsi="Times New Roman" w:cs="Times New Roman"/>
          <w:sz w:val="24"/>
          <w:szCs w:val="24"/>
        </w:rPr>
      </w:pPr>
      <w:proofErr w:type="spellStart"/>
      <w:r w:rsidRPr="0035460B">
        <w:rPr>
          <w:rFonts w:ascii="Times New Roman" w:hAnsi="Times New Roman" w:cs="Times New Roman"/>
          <w:sz w:val="24"/>
          <w:szCs w:val="24"/>
        </w:rPr>
        <w:t>McCammon</w:t>
      </w:r>
      <w:proofErr w:type="spellEnd"/>
      <w:r w:rsidRPr="0035460B">
        <w:rPr>
          <w:rFonts w:ascii="Times New Roman" w:hAnsi="Times New Roman" w:cs="Times New Roman"/>
          <w:sz w:val="24"/>
          <w:szCs w:val="24"/>
        </w:rPr>
        <w:t xml:space="preserve">, Holly J. "“Out of the Parlors and into the Streets”: The Changing Tactical Repertoire of the US </w:t>
      </w:r>
      <w:proofErr w:type="spellStart"/>
      <w:r w:rsidRPr="0035460B">
        <w:rPr>
          <w:rFonts w:ascii="Times New Roman" w:hAnsi="Times New Roman" w:cs="Times New Roman"/>
          <w:sz w:val="24"/>
          <w:szCs w:val="24"/>
        </w:rPr>
        <w:t>Women'Suffrage</w:t>
      </w:r>
      <w:proofErr w:type="spellEnd"/>
      <w:r w:rsidRPr="0035460B">
        <w:rPr>
          <w:rFonts w:ascii="Times New Roman" w:hAnsi="Times New Roman" w:cs="Times New Roman"/>
          <w:sz w:val="24"/>
          <w:szCs w:val="24"/>
        </w:rPr>
        <w:t xml:space="preserve"> Movements." </w:t>
      </w:r>
      <w:r w:rsidRPr="0035460B">
        <w:rPr>
          <w:rFonts w:ascii="Times New Roman" w:hAnsi="Times New Roman" w:cs="Times New Roman"/>
          <w:i/>
          <w:iCs/>
          <w:sz w:val="24"/>
          <w:szCs w:val="24"/>
        </w:rPr>
        <w:t>Social Forces</w:t>
      </w:r>
      <w:r w:rsidRPr="0035460B">
        <w:rPr>
          <w:rFonts w:ascii="Times New Roman" w:hAnsi="Times New Roman" w:cs="Times New Roman"/>
          <w:sz w:val="24"/>
          <w:szCs w:val="24"/>
        </w:rPr>
        <w:t> 81, no. 3 (2003): 787-818.</w:t>
      </w:r>
    </w:p>
    <w:p w:rsidR="0035460B" w:rsidRDefault="0035460B" w:rsidP="0035460B">
      <w:pPr>
        <w:pStyle w:val="FootnoteText"/>
        <w:spacing w:line="480" w:lineRule="auto"/>
        <w:rPr>
          <w:rFonts w:ascii="Times New Roman" w:hAnsi="Times New Roman" w:cs="Times New Roman"/>
          <w:sz w:val="24"/>
          <w:szCs w:val="24"/>
        </w:rPr>
      </w:pPr>
      <w:r w:rsidRPr="0035460B">
        <w:rPr>
          <w:rFonts w:ascii="Times New Roman" w:hAnsi="Times New Roman" w:cs="Times New Roman"/>
          <w:sz w:val="24"/>
          <w:szCs w:val="24"/>
        </w:rPr>
        <w:t xml:space="preserve">Morley, Michael. "The Enforcement Act of 1870, Federal Jurisdiction </w:t>
      </w:r>
      <w:proofErr w:type="gramStart"/>
      <w:r w:rsidRPr="0035460B">
        <w:rPr>
          <w:rFonts w:ascii="Times New Roman" w:hAnsi="Times New Roman" w:cs="Times New Roman"/>
          <w:sz w:val="24"/>
          <w:szCs w:val="24"/>
        </w:rPr>
        <w:t>Over</w:t>
      </w:r>
      <w:proofErr w:type="gramEnd"/>
      <w:r w:rsidRPr="0035460B">
        <w:rPr>
          <w:rFonts w:ascii="Times New Roman" w:hAnsi="Times New Roman" w:cs="Times New Roman"/>
          <w:sz w:val="24"/>
          <w:szCs w:val="24"/>
        </w:rPr>
        <w:t xml:space="preserve"> Election Contests, and the Political Question Doctrine." </w:t>
      </w:r>
      <w:r w:rsidRPr="0035460B">
        <w:rPr>
          <w:rFonts w:ascii="Times New Roman" w:hAnsi="Times New Roman" w:cs="Times New Roman"/>
          <w:i/>
          <w:iCs/>
          <w:sz w:val="24"/>
          <w:szCs w:val="24"/>
        </w:rPr>
        <w:t>Florida Law Review</w:t>
      </w:r>
      <w:r w:rsidRPr="0035460B">
        <w:rPr>
          <w:rFonts w:ascii="Times New Roman" w:hAnsi="Times New Roman" w:cs="Times New Roman"/>
          <w:sz w:val="24"/>
          <w:szCs w:val="24"/>
        </w:rPr>
        <w:t> 72 (2020).</w:t>
      </w:r>
    </w:p>
    <w:p w:rsidR="008F61F5" w:rsidRPr="008F61F5" w:rsidRDefault="008F61F5" w:rsidP="008F61F5">
      <w:pPr>
        <w:spacing w:line="480" w:lineRule="auto"/>
        <w:rPr>
          <w:rFonts w:ascii="Times New Roman" w:hAnsi="Times New Roman" w:cs="Times New Roman"/>
          <w:sz w:val="24"/>
          <w:szCs w:val="24"/>
        </w:rPr>
      </w:pPr>
      <w:r w:rsidRPr="008F61F5">
        <w:rPr>
          <w:rFonts w:ascii="Times New Roman" w:hAnsi="Times New Roman" w:cs="Times New Roman"/>
          <w:sz w:val="24"/>
          <w:szCs w:val="24"/>
        </w:rPr>
        <w:t xml:space="preserve">James. M (2014): Defining Documents in American History: Civil War (1860-1865) surveys key documents produced during the Civil War with special attention devoted to the war-time policies of President Abraham Lincoln and the 37th US Congress, retrieved from, </w:t>
      </w:r>
      <w:hyperlink r:id="rId7" w:history="1">
        <w:r w:rsidRPr="008F61F5">
          <w:rPr>
            <w:rStyle w:val="Hyperlink"/>
            <w:rFonts w:ascii="Times New Roman" w:hAnsi="Times New Roman" w:cs="Times New Roman"/>
            <w:sz w:val="24"/>
            <w:szCs w:val="24"/>
          </w:rPr>
          <w:t>https://salempress.com/defining_docs_american_civil_war</w:t>
        </w:r>
      </w:hyperlink>
    </w:p>
    <w:p w:rsidR="008F61F5" w:rsidRPr="008F61F5" w:rsidRDefault="008F61F5" w:rsidP="008F61F5"/>
    <w:p w:rsidR="008F61F5" w:rsidRPr="008F61F5" w:rsidRDefault="008F61F5" w:rsidP="008F61F5"/>
    <w:sectPr w:rsidR="008F61F5" w:rsidRPr="008F61F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B3E" w:rsidRDefault="008D2B3E" w:rsidP="007D54A7">
      <w:pPr>
        <w:spacing w:after="0" w:line="240" w:lineRule="auto"/>
      </w:pPr>
      <w:r>
        <w:separator/>
      </w:r>
    </w:p>
  </w:endnote>
  <w:endnote w:type="continuationSeparator" w:id="0">
    <w:p w:rsidR="008D2B3E" w:rsidRDefault="008D2B3E" w:rsidP="007D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B3E" w:rsidRDefault="008D2B3E" w:rsidP="007D54A7">
      <w:pPr>
        <w:spacing w:after="0" w:line="240" w:lineRule="auto"/>
      </w:pPr>
      <w:r>
        <w:separator/>
      </w:r>
    </w:p>
  </w:footnote>
  <w:footnote w:type="continuationSeparator" w:id="0">
    <w:p w:rsidR="008D2B3E" w:rsidRDefault="008D2B3E" w:rsidP="007D54A7">
      <w:pPr>
        <w:spacing w:after="0" w:line="240" w:lineRule="auto"/>
      </w:pPr>
      <w:r>
        <w:continuationSeparator/>
      </w:r>
    </w:p>
  </w:footnote>
  <w:footnote w:id="1">
    <w:p w:rsidR="007D54A7" w:rsidRDefault="007D54A7">
      <w:pPr>
        <w:pStyle w:val="FootnoteText"/>
      </w:pPr>
      <w:r>
        <w:rPr>
          <w:rStyle w:val="FootnoteReference"/>
        </w:rPr>
        <w:footnoteRef/>
      </w:r>
      <w:r>
        <w:t xml:space="preserve"> </w:t>
      </w:r>
      <w:r w:rsidRPr="007D54A7">
        <w:t xml:space="preserve">Morley, Michael. "The Enforcement Act of 1870, Federal Jurisdiction </w:t>
      </w:r>
      <w:proofErr w:type="gramStart"/>
      <w:r w:rsidRPr="007D54A7">
        <w:t>Over</w:t>
      </w:r>
      <w:proofErr w:type="gramEnd"/>
      <w:r w:rsidRPr="007D54A7">
        <w:t xml:space="preserve"> Election Contests, and the Political Question Doctrine." </w:t>
      </w:r>
      <w:r w:rsidRPr="007D54A7">
        <w:rPr>
          <w:i/>
          <w:iCs/>
        </w:rPr>
        <w:t>Florida Law Review</w:t>
      </w:r>
      <w:r w:rsidRPr="007D54A7">
        <w:t> 72 (2020).</w:t>
      </w:r>
    </w:p>
    <w:p w:rsidR="007D54A7" w:rsidRPr="007A3718" w:rsidRDefault="007D54A7">
      <w:pPr>
        <w:pStyle w:val="FootnoteText"/>
        <w:rPr>
          <w:sz w:val="24"/>
        </w:rPr>
      </w:pPr>
    </w:p>
  </w:footnote>
  <w:footnote w:id="2">
    <w:p w:rsidR="008F61F5" w:rsidRPr="007A3718" w:rsidRDefault="008F61F5" w:rsidP="008F61F5">
      <w:pPr>
        <w:spacing w:line="480" w:lineRule="auto"/>
        <w:rPr>
          <w:rFonts w:ascii="Times New Roman" w:hAnsi="Times New Roman" w:cs="Times New Roman"/>
          <w:sz w:val="18"/>
          <w:szCs w:val="24"/>
        </w:rPr>
      </w:pPr>
      <w:r w:rsidRPr="007A3718">
        <w:rPr>
          <w:rStyle w:val="FootnoteReference"/>
          <w:sz w:val="24"/>
        </w:rPr>
        <w:footnoteRef/>
      </w:r>
      <w:r w:rsidRPr="007A3718">
        <w:rPr>
          <w:sz w:val="24"/>
        </w:rPr>
        <w:t xml:space="preserve"> </w:t>
      </w:r>
      <w:r w:rsidRPr="007A3718">
        <w:rPr>
          <w:rFonts w:ascii="Times New Roman" w:hAnsi="Times New Roman" w:cs="Times New Roman"/>
          <w:sz w:val="18"/>
          <w:szCs w:val="24"/>
        </w:rPr>
        <w:t xml:space="preserve">James. M (2014): Defining Documents in American History: Civil War (1860-1865) surveys key documents produced during the Civil War with special attention devoted to the war-time policies of President Abraham Lincoln and the 37th US Congress, retrieved from, </w:t>
      </w:r>
      <w:hyperlink r:id="rId1" w:history="1">
        <w:r w:rsidRPr="007A3718">
          <w:rPr>
            <w:rStyle w:val="Hyperlink"/>
            <w:rFonts w:ascii="Times New Roman" w:hAnsi="Times New Roman" w:cs="Times New Roman"/>
            <w:sz w:val="18"/>
            <w:szCs w:val="24"/>
          </w:rPr>
          <w:t>https://salempress.com/defining_docs_american_civil_war</w:t>
        </w:r>
      </w:hyperlink>
    </w:p>
  </w:footnote>
  <w:footnote w:id="3">
    <w:p w:rsidR="007D54A7" w:rsidRDefault="007D54A7">
      <w:pPr>
        <w:pStyle w:val="FootnoteText"/>
      </w:pPr>
      <w:r w:rsidRPr="007A3718">
        <w:rPr>
          <w:rStyle w:val="FootnoteReference"/>
          <w:sz w:val="22"/>
        </w:rPr>
        <w:footnoteRef/>
      </w:r>
      <w:r w:rsidRPr="007A3718">
        <w:rPr>
          <w:sz w:val="22"/>
        </w:rPr>
        <w:t xml:space="preserve"> </w:t>
      </w:r>
      <w:proofErr w:type="spellStart"/>
      <w:r w:rsidRPr="007A3718">
        <w:rPr>
          <w:sz w:val="22"/>
        </w:rPr>
        <w:t>McCammon</w:t>
      </w:r>
      <w:proofErr w:type="spellEnd"/>
      <w:r w:rsidRPr="007A3718">
        <w:rPr>
          <w:sz w:val="22"/>
        </w:rPr>
        <w:t xml:space="preserve">, Holly J. "“Out of the Parlors </w:t>
      </w:r>
      <w:r w:rsidRPr="007D54A7">
        <w:t xml:space="preserve">and into the Streets”: The Changing Tactical Repertoire of the US </w:t>
      </w:r>
      <w:proofErr w:type="spellStart"/>
      <w:r w:rsidRPr="007D54A7">
        <w:t>Women'Suffrage</w:t>
      </w:r>
      <w:proofErr w:type="spellEnd"/>
      <w:r w:rsidRPr="007D54A7">
        <w:t xml:space="preserve"> Movements." </w:t>
      </w:r>
      <w:r w:rsidRPr="007D54A7">
        <w:rPr>
          <w:i/>
          <w:iCs/>
        </w:rPr>
        <w:t>Social Forces</w:t>
      </w:r>
      <w:r w:rsidRPr="007D54A7">
        <w:t> 81, no. 3 (2003): 787-818.</w:t>
      </w:r>
    </w:p>
  </w:footnote>
  <w:footnote w:id="4">
    <w:p w:rsidR="007D54A7" w:rsidRDefault="007D54A7">
      <w:pPr>
        <w:pStyle w:val="FootnoteText"/>
      </w:pPr>
      <w:r>
        <w:rPr>
          <w:rStyle w:val="FootnoteReference"/>
        </w:rPr>
        <w:footnoteRef/>
      </w:r>
      <w:r>
        <w:t xml:space="preserve"> </w:t>
      </w:r>
      <w:r w:rsidRPr="007D54A7">
        <w:t>Jackson, Kenneth T. </w:t>
      </w:r>
      <w:r w:rsidRPr="007D54A7">
        <w:rPr>
          <w:i/>
          <w:iCs/>
        </w:rPr>
        <w:t>The Ku Klux Klan in the City, 1915-1930</w:t>
      </w:r>
      <w:r w:rsidRPr="007D54A7">
        <w:t xml:space="preserve">. Vol. 123. </w:t>
      </w:r>
      <w:proofErr w:type="spellStart"/>
      <w:r w:rsidRPr="007D54A7">
        <w:t>Rowman</w:t>
      </w:r>
      <w:proofErr w:type="spellEnd"/>
      <w:r w:rsidRPr="007D54A7">
        <w:t xml:space="preserve"> &amp; Littlefield, 1992.</w:t>
      </w:r>
    </w:p>
  </w:footnote>
  <w:footnote w:id="5">
    <w:p w:rsidR="007D54A7" w:rsidRDefault="007D54A7">
      <w:pPr>
        <w:pStyle w:val="FootnoteText"/>
      </w:pPr>
      <w:r>
        <w:rPr>
          <w:rStyle w:val="FootnoteReference"/>
        </w:rPr>
        <w:footnoteRef/>
      </w:r>
      <w:r>
        <w:t xml:space="preserve"> </w:t>
      </w:r>
      <w:proofErr w:type="spellStart"/>
      <w:r w:rsidRPr="007D54A7">
        <w:t>Grønbæk</w:t>
      </w:r>
      <w:proofErr w:type="spellEnd"/>
      <w:r w:rsidRPr="007D54A7">
        <w:t xml:space="preserve">, </w:t>
      </w:r>
      <w:proofErr w:type="spellStart"/>
      <w:r w:rsidRPr="007D54A7">
        <w:t>Majbritt</w:t>
      </w:r>
      <w:proofErr w:type="spellEnd"/>
      <w:r w:rsidRPr="007D54A7">
        <w:t xml:space="preserve"> </w:t>
      </w:r>
      <w:proofErr w:type="spellStart"/>
      <w:r w:rsidRPr="007D54A7">
        <w:t>Kastberg</w:t>
      </w:r>
      <w:proofErr w:type="spellEnd"/>
      <w:r w:rsidRPr="007D54A7">
        <w:t>. "Cause and Effect." </w:t>
      </w:r>
      <w:r w:rsidRPr="007D54A7">
        <w:rPr>
          <w:i/>
          <w:iCs/>
        </w:rPr>
        <w:t>Leviathan: Interdisciplinary Journal in English</w:t>
      </w:r>
      <w:r w:rsidRPr="007D54A7">
        <w:t> 5 (2019): 25-32.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751076"/>
      <w:docPartObj>
        <w:docPartGallery w:val="Page Numbers (Top of Page)"/>
        <w:docPartUnique/>
      </w:docPartObj>
    </w:sdtPr>
    <w:sdtEndPr>
      <w:rPr>
        <w:noProof/>
      </w:rPr>
    </w:sdtEndPr>
    <w:sdtContent>
      <w:p w:rsidR="0066650B" w:rsidRDefault="0066650B">
        <w:pPr>
          <w:pStyle w:val="Header"/>
          <w:jc w:val="right"/>
        </w:pPr>
        <w:r>
          <w:fldChar w:fldCharType="begin"/>
        </w:r>
        <w:r>
          <w:instrText xml:space="preserve"> PAGE   \* MERGEFORMAT </w:instrText>
        </w:r>
        <w:r>
          <w:fldChar w:fldCharType="separate"/>
        </w:r>
        <w:r w:rsidR="007A3718">
          <w:rPr>
            <w:noProof/>
          </w:rPr>
          <w:t>1</w:t>
        </w:r>
        <w:r>
          <w:rPr>
            <w:noProof/>
          </w:rPr>
          <w:fldChar w:fldCharType="end"/>
        </w:r>
      </w:p>
    </w:sdtContent>
  </w:sdt>
  <w:p w:rsidR="0066650B" w:rsidRDefault="006665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0E7"/>
    <w:rsid w:val="00261303"/>
    <w:rsid w:val="002E5295"/>
    <w:rsid w:val="003438C6"/>
    <w:rsid w:val="0035460B"/>
    <w:rsid w:val="00383280"/>
    <w:rsid w:val="0066650B"/>
    <w:rsid w:val="007A3718"/>
    <w:rsid w:val="007D54A7"/>
    <w:rsid w:val="007F50CF"/>
    <w:rsid w:val="00817BFA"/>
    <w:rsid w:val="008D2B3E"/>
    <w:rsid w:val="008F61F5"/>
    <w:rsid w:val="009760E7"/>
    <w:rsid w:val="009F29A4"/>
    <w:rsid w:val="00B522EA"/>
    <w:rsid w:val="00C73F64"/>
    <w:rsid w:val="00CF71C3"/>
    <w:rsid w:val="00D722CA"/>
    <w:rsid w:val="00F720FC"/>
    <w:rsid w:val="00F8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0C9E0-858A-4433-A83F-413C600E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61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8F61F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60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71C3"/>
    <w:rPr>
      <w:b/>
      <w:bCs/>
    </w:rPr>
  </w:style>
  <w:style w:type="paragraph" w:styleId="FootnoteText">
    <w:name w:val="footnote text"/>
    <w:basedOn w:val="Normal"/>
    <w:link w:val="FootnoteTextChar"/>
    <w:uiPriority w:val="99"/>
    <w:semiHidden/>
    <w:unhideWhenUsed/>
    <w:rsid w:val="007D54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54A7"/>
    <w:rPr>
      <w:sz w:val="20"/>
      <w:szCs w:val="20"/>
    </w:rPr>
  </w:style>
  <w:style w:type="character" w:styleId="FootnoteReference">
    <w:name w:val="footnote reference"/>
    <w:basedOn w:val="DefaultParagraphFont"/>
    <w:uiPriority w:val="99"/>
    <w:semiHidden/>
    <w:unhideWhenUsed/>
    <w:rsid w:val="007D54A7"/>
    <w:rPr>
      <w:vertAlign w:val="superscript"/>
    </w:rPr>
  </w:style>
  <w:style w:type="paragraph" w:styleId="Header">
    <w:name w:val="header"/>
    <w:basedOn w:val="Normal"/>
    <w:link w:val="HeaderChar"/>
    <w:uiPriority w:val="99"/>
    <w:unhideWhenUsed/>
    <w:rsid w:val="00666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50B"/>
  </w:style>
  <w:style w:type="paragraph" w:styleId="Footer">
    <w:name w:val="footer"/>
    <w:basedOn w:val="Normal"/>
    <w:link w:val="FooterChar"/>
    <w:uiPriority w:val="99"/>
    <w:unhideWhenUsed/>
    <w:rsid w:val="00666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50B"/>
  </w:style>
  <w:style w:type="character" w:customStyle="1" w:styleId="Heading1Char">
    <w:name w:val="Heading 1 Char"/>
    <w:basedOn w:val="DefaultParagraphFont"/>
    <w:link w:val="Heading1"/>
    <w:uiPriority w:val="9"/>
    <w:rsid w:val="008F61F5"/>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semiHidden/>
    <w:rsid w:val="008F61F5"/>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8F61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041612">
      <w:bodyDiv w:val="1"/>
      <w:marLeft w:val="0"/>
      <w:marRight w:val="0"/>
      <w:marTop w:val="0"/>
      <w:marBottom w:val="0"/>
      <w:divBdr>
        <w:top w:val="none" w:sz="0" w:space="0" w:color="auto"/>
        <w:left w:val="none" w:sz="0" w:space="0" w:color="auto"/>
        <w:bottom w:val="none" w:sz="0" w:space="0" w:color="auto"/>
        <w:right w:val="none" w:sz="0" w:space="0" w:color="auto"/>
      </w:divBdr>
    </w:div>
    <w:div w:id="566770648">
      <w:bodyDiv w:val="1"/>
      <w:marLeft w:val="0"/>
      <w:marRight w:val="0"/>
      <w:marTop w:val="0"/>
      <w:marBottom w:val="0"/>
      <w:divBdr>
        <w:top w:val="none" w:sz="0" w:space="0" w:color="auto"/>
        <w:left w:val="none" w:sz="0" w:space="0" w:color="auto"/>
        <w:bottom w:val="none" w:sz="0" w:space="0" w:color="auto"/>
        <w:right w:val="none" w:sz="0" w:space="0" w:color="auto"/>
      </w:divBdr>
    </w:div>
    <w:div w:id="639848977">
      <w:bodyDiv w:val="1"/>
      <w:marLeft w:val="0"/>
      <w:marRight w:val="0"/>
      <w:marTop w:val="0"/>
      <w:marBottom w:val="0"/>
      <w:divBdr>
        <w:top w:val="none" w:sz="0" w:space="0" w:color="auto"/>
        <w:left w:val="none" w:sz="0" w:space="0" w:color="auto"/>
        <w:bottom w:val="none" w:sz="0" w:space="0" w:color="auto"/>
        <w:right w:val="none" w:sz="0" w:space="0" w:color="auto"/>
      </w:divBdr>
    </w:div>
    <w:div w:id="772671971">
      <w:bodyDiv w:val="1"/>
      <w:marLeft w:val="0"/>
      <w:marRight w:val="0"/>
      <w:marTop w:val="0"/>
      <w:marBottom w:val="0"/>
      <w:divBdr>
        <w:top w:val="none" w:sz="0" w:space="0" w:color="auto"/>
        <w:left w:val="none" w:sz="0" w:space="0" w:color="auto"/>
        <w:bottom w:val="none" w:sz="0" w:space="0" w:color="auto"/>
        <w:right w:val="none" w:sz="0" w:space="0" w:color="auto"/>
      </w:divBdr>
    </w:div>
    <w:div w:id="1640383851">
      <w:bodyDiv w:val="1"/>
      <w:marLeft w:val="0"/>
      <w:marRight w:val="0"/>
      <w:marTop w:val="0"/>
      <w:marBottom w:val="0"/>
      <w:divBdr>
        <w:top w:val="none" w:sz="0" w:space="0" w:color="auto"/>
        <w:left w:val="none" w:sz="0" w:space="0" w:color="auto"/>
        <w:bottom w:val="none" w:sz="0" w:space="0" w:color="auto"/>
        <w:right w:val="none" w:sz="0" w:space="0" w:color="auto"/>
      </w:divBdr>
    </w:div>
    <w:div w:id="192016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lempress.com/defining_docs_american_civil_wa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alempress.com/defining_docs_american_civil_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9E182-90EA-406A-BA24-C30713A5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USER</cp:lastModifiedBy>
  <cp:revision>6</cp:revision>
  <dcterms:created xsi:type="dcterms:W3CDTF">2021-02-19T09:18:00Z</dcterms:created>
  <dcterms:modified xsi:type="dcterms:W3CDTF">2021-02-20T13:31:00Z</dcterms:modified>
</cp:coreProperties>
</file>